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E7" w:rsidRPr="00254148" w:rsidRDefault="00847566" w:rsidP="00A80C27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A524B" wp14:editId="6FA3D76B">
            <wp:simplePos x="0" y="0"/>
            <wp:positionH relativeFrom="margin">
              <wp:posOffset>127355</wp:posOffset>
            </wp:positionH>
            <wp:positionV relativeFrom="paragraph">
              <wp:posOffset>435463</wp:posOffset>
            </wp:positionV>
            <wp:extent cx="2243455" cy="1454150"/>
            <wp:effectExtent l="0" t="0" r="4445" b="0"/>
            <wp:wrapTight wrapText="bothSides">
              <wp:wrapPolygon edited="0">
                <wp:start x="0" y="0"/>
                <wp:lineTo x="0" y="21223"/>
                <wp:lineTo x="21459" y="21223"/>
                <wp:lineTo x="214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A3D8A1" wp14:editId="26BA65AB">
            <wp:simplePos x="0" y="0"/>
            <wp:positionH relativeFrom="margin">
              <wp:posOffset>2912996</wp:posOffset>
            </wp:positionH>
            <wp:positionV relativeFrom="paragraph">
              <wp:posOffset>382595</wp:posOffset>
            </wp:positionV>
            <wp:extent cx="3423285" cy="1655445"/>
            <wp:effectExtent l="0" t="0" r="5715" b="1905"/>
            <wp:wrapTight wrapText="bothSides">
              <wp:wrapPolygon edited="0">
                <wp:start x="0" y="0"/>
                <wp:lineTo x="0" y="21376"/>
                <wp:lineTo x="21516" y="21376"/>
                <wp:lineTo x="2151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prog146-c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6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B080B" wp14:editId="08D06D4F">
                <wp:simplePos x="0" y="0"/>
                <wp:positionH relativeFrom="column">
                  <wp:posOffset>5486712</wp:posOffset>
                </wp:positionH>
                <wp:positionV relativeFrom="paragraph">
                  <wp:posOffset>229557</wp:posOffset>
                </wp:positionV>
                <wp:extent cx="201960" cy="0"/>
                <wp:effectExtent l="0" t="76200" r="2667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D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6in;margin-top:18.1pt;width:1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dx+QEAAAYEAAAOAAAAZHJzL2Uyb0RvYy54bWysU0tuFDEQ3SNxB8t7pnuiEJHW9GQxATYI&#10;RnwO4LjL3Zb8k22mpy/BkgVIiA3LZBWJBeeBUW5B2T3TQUFCArHxt96res/lxdlWK7IBH6Q1NZ3P&#10;SkrAcNtI09b0zesnDx5REiIzDVPWQE0HCPRsef/eoncVHNnOqgY8QRITqt7VtIvRVUUReAeahZl1&#10;YPBSWK9ZxK1vi8azHtm1Ko7K8qTorW+ctxxCwNPz8ZIuM78QwOMLIQJEomqKtcU8+jxepLFYLljV&#10;euY6yfdlsH+oQjNpMOlEdc4iI2+9/I1KS+5tsCLOuNWFFUJyyBpQzby8o+ZVxxxkLWhOcJNN4f/R&#10;8uebtSeyqekxJYZpfKLdx+vd1w/f31/tri5vPl/+ePfl5tsncpys6l2oELEya7/fBbf2SfdWeJ1m&#10;VES22d5hshe2kXA8RIWnJ/gI/HBV3OKcD/EpWE3SoqYheibbLq6sMfiG1s+zu2zzLETMjMADICVV&#10;hvTYfKflwzKHRSbVY9OQODjUE71kplWQBCBQGZySkLH0vIqDgpHoJQh0A4sdE+Y+hJXyZMOwgxjn&#10;YOJ8YsLoBBNSqQk4lvBH4D4+QSH36N+AJ0TObE2cwFoa67MBd7LH7aFkMcYfHBh1JwsubDPkR83W&#10;YLNlr/YfI3Xzr/sMv/2+y58AAAD//wMAUEsDBBQABgAIAAAAIQCUVuAf3AAAAAkBAAAPAAAAZHJz&#10;L2Rvd25yZXYueG1sTI/BTsMwDIbvSLxDZCRuLGVAVbqmE1TiiBBlsGvaeG1F4lRN1pW3x4gDHG3/&#10;+v19xXZxVsw4hcGTgutVAgKp9WagTsHu7ekqAxGiJqOtJ1TwhQG25flZoXPjT/SKcx07wSUUcq2g&#10;j3HMpQxtj06HlR+R+Hbwk9ORx6mTZtInLndWrpMklU4PxB96PWLVY/tZH52C970b99nuuXqs69BU&#10;oXmx8WNW6vJiediAiLjEvzD84DM6lMzU+COZIKyCLL1ll6jgJl2D4EB2f8cuze9CloX8b1B+AwAA&#10;//8DAFBLAQItABQABgAIAAAAIQC2gziS/gAAAOEBAAATAAAAAAAAAAAAAAAAAAAAAABbQ29udGVu&#10;dF9UeXBlc10ueG1sUEsBAi0AFAAGAAgAAAAhADj9If/WAAAAlAEAAAsAAAAAAAAAAAAAAAAALwEA&#10;AF9yZWxzLy5yZWxzUEsBAi0AFAAGAAgAAAAhAL9dN3H5AQAABgQAAA4AAAAAAAAAAAAAAAAALgIA&#10;AGRycy9lMm9Eb2MueG1sUEsBAi0AFAAGAAgAAAAhAJRW4B/cAAAACQEAAA8AAAAAAAAAAAAAAAAA&#10;Uw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proofErr w:type="spellStart"/>
      <w:r w:rsidR="00EA2675" w:rsidRPr="00254148">
        <w:rPr>
          <w:rFonts w:ascii="Times New Roman" w:eastAsia="標楷體" w:hAnsi="Times New Roman" w:hint="eastAsia"/>
          <w:b/>
          <w:sz w:val="30"/>
          <w:szCs w:val="30"/>
        </w:rPr>
        <w:t>Beprog</w:t>
      </w:r>
      <w:proofErr w:type="spellEnd"/>
      <w:r w:rsidR="000776E3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  <w:r w:rsidR="00EA2675" w:rsidRPr="00254148">
        <w:rPr>
          <w:rFonts w:ascii="Times New Roman" w:eastAsia="標楷體" w:hAnsi="Times New Roman" w:hint="eastAsia"/>
          <w:b/>
          <w:sz w:val="30"/>
          <w:szCs w:val="30"/>
        </w:rPr>
        <w:t>14</w:t>
      </w:r>
      <w:r w:rsidR="00A80C27">
        <w:rPr>
          <w:rFonts w:ascii="Times New Roman" w:eastAsia="標楷體" w:hAnsi="Times New Roman"/>
          <w:b/>
          <w:sz w:val="30"/>
          <w:szCs w:val="30"/>
        </w:rPr>
        <w:t>6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無限</w:t>
      </w:r>
      <w:proofErr w:type="gramStart"/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域</w:t>
      </w:r>
      <w:r w:rsidR="0019583E">
        <w:rPr>
          <w:rFonts w:ascii="Times New Roman" w:eastAsia="標楷體" w:hAnsi="Times New Roman" w:hint="eastAsia"/>
          <w:b/>
          <w:sz w:val="30"/>
          <w:szCs w:val="30"/>
        </w:rPr>
        <w:t>含兩</w:t>
      </w:r>
      <w:proofErr w:type="gramEnd"/>
      <w:r w:rsidR="00A80C27">
        <w:rPr>
          <w:rFonts w:ascii="Times New Roman" w:eastAsia="標楷體" w:hAnsi="Times New Roman" w:hint="eastAsia"/>
          <w:b/>
          <w:sz w:val="30"/>
          <w:szCs w:val="30"/>
        </w:rPr>
        <w:t>不</w:t>
      </w:r>
      <w:r w:rsidR="0019583E">
        <w:rPr>
          <w:rFonts w:ascii="Times New Roman" w:eastAsia="標楷體" w:hAnsi="Times New Roman" w:hint="eastAsia"/>
          <w:b/>
          <w:sz w:val="30"/>
          <w:szCs w:val="30"/>
        </w:rPr>
        <w:t>等圓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退化尺度</w:t>
      </w:r>
      <w:r w:rsidR="0019583E">
        <w:rPr>
          <w:rFonts w:ascii="Times New Roman" w:eastAsia="標楷體" w:hAnsi="Times New Roman" w:hint="eastAsia"/>
          <w:b/>
          <w:sz w:val="30"/>
          <w:szCs w:val="30"/>
        </w:rPr>
        <w:t>解析公式</w:t>
      </w:r>
      <w:r w:rsidR="00A80C27">
        <w:rPr>
          <w:rFonts w:ascii="Times New Roman" w:eastAsia="標楷體" w:hAnsi="Times New Roman" w:hint="eastAsia"/>
          <w:b/>
          <w:sz w:val="30"/>
          <w:szCs w:val="30"/>
        </w:rPr>
        <w:t xml:space="preserve"> (</w:t>
      </w:r>
      <w:r w:rsidR="00A80C27">
        <w:rPr>
          <w:rFonts w:ascii="Times New Roman" w:eastAsia="標楷體" w:hAnsi="Times New Roman" w:hint="eastAsia"/>
          <w:b/>
          <w:sz w:val="30"/>
          <w:szCs w:val="30"/>
        </w:rPr>
        <w:t>分離核</w:t>
      </w:r>
      <w:r w:rsidR="000776E3">
        <w:rPr>
          <w:rFonts w:ascii="Times New Roman" w:eastAsia="標楷體" w:hAnsi="Times New Roman" w:hint="eastAsia"/>
          <w:b/>
          <w:sz w:val="30"/>
          <w:szCs w:val="30"/>
        </w:rPr>
        <w:t>與</w:t>
      </w:r>
      <w:proofErr w:type="gramStart"/>
      <w:r w:rsidR="00A80C27">
        <w:rPr>
          <w:rFonts w:ascii="Times New Roman" w:eastAsia="標楷體" w:hAnsi="Times New Roman" w:hint="eastAsia"/>
          <w:b/>
          <w:sz w:val="30"/>
          <w:szCs w:val="30"/>
        </w:rPr>
        <w:t>複</w:t>
      </w:r>
      <w:proofErr w:type="gramEnd"/>
      <w:r w:rsidR="00A80C27">
        <w:rPr>
          <w:rFonts w:ascii="Times New Roman" w:eastAsia="標楷體" w:hAnsi="Times New Roman" w:hint="eastAsia"/>
          <w:b/>
          <w:sz w:val="30"/>
          <w:szCs w:val="30"/>
        </w:rPr>
        <w:t>變</w:t>
      </w:r>
      <w:r w:rsidR="000776E3">
        <w:rPr>
          <w:rFonts w:ascii="Times New Roman" w:eastAsia="標楷體" w:hAnsi="Times New Roman" w:hint="eastAsia"/>
          <w:b/>
          <w:sz w:val="30"/>
          <w:szCs w:val="30"/>
        </w:rPr>
        <w:t xml:space="preserve">   </w:t>
      </w:r>
      <w:r w:rsidR="00A80C27">
        <w:rPr>
          <w:rFonts w:ascii="Times New Roman" w:eastAsia="標楷體" w:hAnsi="Times New Roman" w:hint="eastAsia"/>
          <w:b/>
          <w:sz w:val="30"/>
          <w:szCs w:val="30"/>
        </w:rPr>
        <w:t>殊途同歸</w:t>
      </w:r>
      <w:r w:rsidR="00A80C27">
        <w:rPr>
          <w:rFonts w:ascii="Times New Roman" w:eastAsia="標楷體" w:hAnsi="Times New Roman" w:hint="eastAsia"/>
          <w:b/>
          <w:sz w:val="30"/>
          <w:szCs w:val="30"/>
        </w:rPr>
        <w:t>)</w:t>
      </w:r>
      <w:r w:rsidR="0019583E" w:rsidRPr="00254148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</w:p>
    <w:p w:rsidR="00C0674C" w:rsidRDefault="00C0674C" w:rsidP="003C6B75">
      <w:pPr>
        <w:jc w:val="center"/>
        <w:rPr>
          <w:rFonts w:ascii="Times New Roman" w:eastAsia="標楷體" w:hAnsi="Times New Roman"/>
        </w:rPr>
      </w:pPr>
    </w:p>
    <w:p w:rsidR="00847566" w:rsidRDefault="00351E66" w:rsidP="003A65B9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     </w:t>
      </w:r>
    </w:p>
    <w:p w:rsidR="00847566" w:rsidRDefault="00847566" w:rsidP="003A65B9">
      <w:pPr>
        <w:jc w:val="both"/>
        <w:rPr>
          <w:rFonts w:ascii="標楷體" w:eastAsia="標楷體" w:hAnsi="標楷體"/>
          <w:szCs w:val="24"/>
        </w:rPr>
      </w:pPr>
    </w:p>
    <w:p w:rsidR="00847566" w:rsidRDefault="00847566" w:rsidP="003A65B9">
      <w:pPr>
        <w:jc w:val="both"/>
        <w:rPr>
          <w:rFonts w:ascii="標楷體" w:eastAsia="標楷體" w:hAnsi="標楷體"/>
          <w:szCs w:val="24"/>
        </w:rPr>
      </w:pPr>
    </w:p>
    <w:p w:rsidR="00847566" w:rsidRDefault="00847566" w:rsidP="003A65B9">
      <w:pPr>
        <w:jc w:val="both"/>
        <w:rPr>
          <w:rFonts w:ascii="標楷體" w:eastAsia="標楷體" w:hAnsi="標楷體"/>
          <w:szCs w:val="24"/>
        </w:rPr>
      </w:pPr>
    </w:p>
    <w:p w:rsidR="00847566" w:rsidRDefault="00847566" w:rsidP="003A65B9">
      <w:pPr>
        <w:jc w:val="both"/>
        <w:rPr>
          <w:rFonts w:ascii="標楷體" w:eastAsia="標楷體" w:hAnsi="標楷體"/>
          <w:szCs w:val="24"/>
        </w:rPr>
      </w:pPr>
    </w:p>
    <w:p w:rsidR="00847566" w:rsidRDefault="00847566" w:rsidP="003A65B9">
      <w:pPr>
        <w:jc w:val="both"/>
        <w:rPr>
          <w:rFonts w:ascii="標楷體" w:eastAsia="標楷體" w:hAnsi="標楷體"/>
          <w:szCs w:val="24"/>
        </w:rPr>
      </w:pPr>
    </w:p>
    <w:p w:rsidR="00351E66" w:rsidRDefault="00847566" w:rsidP="003A65B9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351E66">
        <w:rPr>
          <w:rFonts w:ascii="標楷體" w:eastAsia="標楷體" w:hAnsi="標楷體" w:hint="eastAsia"/>
          <w:szCs w:val="24"/>
        </w:rPr>
        <w:t>圖一                                         圖二</w:t>
      </w:r>
    </w:p>
    <w:p w:rsidR="003C6B75" w:rsidRPr="00234E67" w:rsidRDefault="00351E66" w:rsidP="00847566">
      <w:pPr>
        <w:spacing w:line="240" w:lineRule="exact"/>
        <w:ind w:firstLine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此研究為[1]與[2]之延伸，將使用雙</w:t>
      </w:r>
      <w:proofErr w:type="gramStart"/>
      <w:r>
        <w:rPr>
          <w:rFonts w:ascii="標楷體" w:eastAsia="標楷體" w:hAnsi="標楷體" w:hint="eastAsia"/>
          <w:szCs w:val="24"/>
        </w:rPr>
        <w:t>極</w:t>
      </w:r>
      <w:proofErr w:type="gramEnd"/>
      <w:r>
        <w:rPr>
          <w:rFonts w:ascii="標楷體" w:eastAsia="標楷體" w:hAnsi="標楷體" w:hint="eastAsia"/>
          <w:szCs w:val="24"/>
        </w:rPr>
        <w:t>座標下的分離核與</w:t>
      </w:r>
      <w:proofErr w:type="gramStart"/>
      <w:r>
        <w:rPr>
          <w:rFonts w:ascii="標楷體" w:eastAsia="標楷體" w:hAnsi="標楷體" w:hint="eastAsia"/>
          <w:szCs w:val="24"/>
        </w:rPr>
        <w:t>複</w:t>
      </w:r>
      <w:proofErr w:type="gramEnd"/>
      <w:r>
        <w:rPr>
          <w:rFonts w:ascii="標楷體" w:eastAsia="標楷體" w:hAnsi="標楷體" w:hint="eastAsia"/>
          <w:szCs w:val="24"/>
        </w:rPr>
        <w:t>變</w:t>
      </w:r>
      <w:proofErr w:type="gramStart"/>
      <w:r>
        <w:rPr>
          <w:rFonts w:ascii="標楷體" w:eastAsia="標楷體" w:hAnsi="標楷體" w:hint="eastAsia"/>
          <w:szCs w:val="24"/>
        </w:rPr>
        <w:t>裡保角</w:t>
      </w:r>
      <w:proofErr w:type="gramEnd"/>
      <w:r>
        <w:rPr>
          <w:rFonts w:ascii="標楷體" w:eastAsia="標楷體" w:hAnsi="標楷體" w:hint="eastAsia"/>
          <w:szCs w:val="24"/>
        </w:rPr>
        <w:t>映射技巧分別</w:t>
      </w:r>
      <w:proofErr w:type="gramStart"/>
      <w:r>
        <w:rPr>
          <w:rFonts w:ascii="標楷體" w:eastAsia="標楷體" w:hAnsi="標楷體" w:hint="eastAsia"/>
          <w:szCs w:val="24"/>
        </w:rPr>
        <w:t>導得無</w:t>
      </w:r>
      <w:r w:rsidRPr="00351E66">
        <w:rPr>
          <w:rFonts w:ascii="標楷體" w:eastAsia="標楷體" w:hAnsi="標楷體" w:hint="eastAsia"/>
          <w:szCs w:val="24"/>
        </w:rPr>
        <w:t>限域含兩</w:t>
      </w:r>
      <w:proofErr w:type="gramEnd"/>
      <w:r w:rsidRPr="00351E66">
        <w:rPr>
          <w:rFonts w:ascii="標楷體" w:eastAsia="標楷體" w:hAnsi="標楷體" w:hint="eastAsia"/>
          <w:szCs w:val="24"/>
        </w:rPr>
        <w:t>不等圓退化尺度</w:t>
      </w:r>
      <w:r>
        <w:rPr>
          <w:rFonts w:ascii="標楷體" w:eastAsia="標楷體" w:hAnsi="標楷體" w:hint="eastAsia"/>
          <w:szCs w:val="24"/>
        </w:rPr>
        <w:t>解析公式，並驗證此兩公式為等價，再與BEM結果互相比對。圖一為無</w:t>
      </w:r>
      <w:r w:rsidRPr="00351E66">
        <w:rPr>
          <w:rFonts w:ascii="標楷體" w:eastAsia="標楷體" w:hAnsi="標楷體" w:hint="eastAsia"/>
          <w:szCs w:val="24"/>
        </w:rPr>
        <w:t>限</w:t>
      </w:r>
      <w:proofErr w:type="gramStart"/>
      <w:r w:rsidRPr="00351E66">
        <w:rPr>
          <w:rFonts w:ascii="標楷體" w:eastAsia="標楷體" w:hAnsi="標楷體" w:hint="eastAsia"/>
          <w:szCs w:val="24"/>
        </w:rPr>
        <w:t>域含兩</w:t>
      </w:r>
      <w:proofErr w:type="gramEnd"/>
      <w:r w:rsidRPr="00351E66">
        <w:rPr>
          <w:rFonts w:ascii="標楷體" w:eastAsia="標楷體" w:hAnsi="標楷體" w:hint="eastAsia"/>
          <w:szCs w:val="24"/>
        </w:rPr>
        <w:t>不等圓</w:t>
      </w:r>
      <w:r>
        <w:rPr>
          <w:rFonts w:ascii="標楷體" w:eastAsia="標楷體" w:hAnsi="標楷體" w:hint="eastAsia"/>
          <w:szCs w:val="24"/>
        </w:rPr>
        <w:t>問題在雙</w:t>
      </w:r>
      <w:proofErr w:type="gramStart"/>
      <w:r>
        <w:rPr>
          <w:rFonts w:ascii="標楷體" w:eastAsia="標楷體" w:hAnsi="標楷體" w:hint="eastAsia"/>
          <w:szCs w:val="24"/>
        </w:rPr>
        <w:t>極</w:t>
      </w:r>
      <w:proofErr w:type="gramEnd"/>
      <w:r>
        <w:rPr>
          <w:rFonts w:ascii="標楷體" w:eastAsia="標楷體" w:hAnsi="標楷體" w:hint="eastAsia"/>
          <w:szCs w:val="24"/>
        </w:rPr>
        <w:t>座標下使用分離核之描述圖，圖二則是</w:t>
      </w:r>
      <w:r w:rsidRPr="00B10F3C">
        <w:rPr>
          <w:rFonts w:ascii="Times New Roman" w:eastAsia="標楷體" w:hAnsi="Times New Roman" w:hint="eastAsia"/>
        </w:rPr>
        <w:t>將</w:t>
      </w:r>
      <w:proofErr w:type="gramStart"/>
      <w:r w:rsidRPr="00B10F3C">
        <w:rPr>
          <w:rFonts w:ascii="Times New Roman" w:eastAsia="標楷體" w:hAnsi="Times New Roman" w:hint="eastAsia"/>
        </w:rPr>
        <w:t>無限域含</w:t>
      </w:r>
      <w:r>
        <w:rPr>
          <w:rFonts w:ascii="Times New Roman" w:eastAsia="標楷體" w:hAnsi="Times New Roman" w:hint="eastAsia"/>
        </w:rPr>
        <w:t>大小</w:t>
      </w:r>
      <w:proofErr w:type="gramEnd"/>
      <w:r>
        <w:rPr>
          <w:rFonts w:ascii="Times New Roman" w:eastAsia="標楷體" w:hAnsi="Times New Roman" w:hint="eastAsia"/>
        </w:rPr>
        <w:t>圓</w:t>
      </w:r>
      <w:r w:rsidRPr="00B10F3C">
        <w:rPr>
          <w:rFonts w:ascii="Times New Roman" w:eastAsia="標楷體" w:hAnsi="Times New Roman" w:hint="eastAsia"/>
        </w:rPr>
        <w:t>mappi</w:t>
      </w:r>
      <w:r w:rsidRPr="00B10F3C">
        <w:rPr>
          <w:rFonts w:ascii="Times New Roman" w:eastAsia="標楷體" w:hAnsi="Times New Roman"/>
        </w:rPr>
        <w:t>ng</w:t>
      </w:r>
      <w:r w:rsidRPr="00B10F3C">
        <w:rPr>
          <w:rFonts w:ascii="Times New Roman" w:eastAsia="標楷體" w:hAnsi="Times New Roman" w:hint="eastAsia"/>
        </w:rPr>
        <w:t>成同心圓環格林函數</w:t>
      </w:r>
      <w:r>
        <w:rPr>
          <w:rFonts w:ascii="Times New Roman" w:eastAsia="標楷體" w:hAnsi="Times New Roman" w:hint="eastAsia"/>
        </w:rPr>
        <w:t>描述圖</w:t>
      </w:r>
      <w:r>
        <w:rPr>
          <w:rFonts w:ascii="標楷體" w:eastAsia="標楷體" w:hAnsi="標楷體" w:hint="eastAsia"/>
          <w:szCs w:val="24"/>
        </w:rPr>
        <w:t>。</w:t>
      </w:r>
      <w:r w:rsidR="00234E67">
        <w:rPr>
          <w:rFonts w:ascii="標楷體" w:eastAsia="標楷體" w:hAnsi="標楷體" w:hint="eastAsia"/>
          <w:szCs w:val="24"/>
        </w:rPr>
        <w:t>利用</w:t>
      </w:r>
      <w:proofErr w:type="gramStart"/>
      <w:r w:rsidR="00234E67">
        <w:rPr>
          <w:rFonts w:ascii="標楷體" w:eastAsia="標楷體" w:hAnsi="標楷體" w:hint="eastAsia"/>
          <w:szCs w:val="24"/>
        </w:rPr>
        <w:t>複</w:t>
      </w:r>
      <w:proofErr w:type="gramEnd"/>
      <w:r w:rsidR="00234E67">
        <w:rPr>
          <w:rFonts w:ascii="標楷體" w:eastAsia="標楷體" w:hAnsi="標楷體" w:hint="eastAsia"/>
          <w:szCs w:val="24"/>
        </w:rPr>
        <w:t>變推導使用</w:t>
      </w:r>
      <w:r w:rsidR="00234E67">
        <w:rPr>
          <w:rFonts w:ascii="Times New Roman" w:eastAsia="標楷體" w:hAnsi="Times New Roman" w:hint="eastAsia"/>
        </w:rPr>
        <w:t>手法</w:t>
      </w:r>
      <w:r>
        <w:rPr>
          <w:rFonts w:ascii="Times New Roman" w:eastAsia="標楷體" w:hAnsi="Times New Roman" w:hint="eastAsia"/>
        </w:rPr>
        <w:t>與</w:t>
      </w:r>
      <w:r w:rsidR="00234E67">
        <w:rPr>
          <w:rFonts w:ascii="Times New Roman" w:eastAsia="標楷體" w:hAnsi="Times New Roman" w:hint="eastAsia"/>
        </w:rPr>
        <w:t>[2]</w:t>
      </w:r>
      <w:r w:rsidR="00234E67">
        <w:rPr>
          <w:rFonts w:ascii="Times New Roman" w:eastAsia="標楷體" w:hAnsi="Times New Roman" w:hint="eastAsia"/>
        </w:rPr>
        <w:t>相同</w:t>
      </w:r>
      <w:r w:rsidR="00234E67">
        <w:rPr>
          <w:rFonts w:ascii="標楷體" w:eastAsia="標楷體" w:hAnsi="標楷體" w:hint="eastAsia"/>
          <w:szCs w:val="24"/>
        </w:rPr>
        <w:t>，</w:t>
      </w:r>
      <w:r w:rsidR="003C6B75">
        <w:rPr>
          <w:rFonts w:ascii="Times New Roman" w:eastAsia="標楷體" w:hAnsi="Times New Roman" w:hint="eastAsia"/>
        </w:rPr>
        <w:t>可求得</w:t>
      </w:r>
      <w:r w:rsidR="003C6B75" w:rsidRPr="00DC6929">
        <w:rPr>
          <w:rFonts w:ascii="Times New Roman" w:eastAsia="標楷體" w:hAnsi="Times New Roman" w:hint="eastAsia"/>
        </w:rPr>
        <w:t>無限</w:t>
      </w:r>
      <w:proofErr w:type="gramStart"/>
      <w:r w:rsidR="003C6B75" w:rsidRPr="00DC6929">
        <w:rPr>
          <w:rFonts w:ascii="Times New Roman" w:eastAsia="標楷體" w:hAnsi="Times New Roman" w:hint="eastAsia"/>
        </w:rPr>
        <w:t>域含兩</w:t>
      </w:r>
      <w:proofErr w:type="gramEnd"/>
      <w:r w:rsidR="00234E67">
        <w:rPr>
          <w:rFonts w:ascii="Times New Roman" w:eastAsia="標楷體" w:hAnsi="Times New Roman" w:hint="eastAsia"/>
        </w:rPr>
        <w:t>不</w:t>
      </w:r>
      <w:r w:rsidR="003C6B75" w:rsidRPr="00DC6929">
        <w:rPr>
          <w:rFonts w:ascii="Times New Roman" w:eastAsia="標楷體" w:hAnsi="Times New Roman" w:hint="eastAsia"/>
        </w:rPr>
        <w:t>等圓退化尺度解析公式</w:t>
      </w:r>
      <w:r w:rsidR="003C6B75">
        <w:rPr>
          <w:rFonts w:ascii="Times New Roman" w:eastAsia="標楷體" w:hAnsi="Times New Roman" w:hint="eastAsia"/>
        </w:rPr>
        <w:t>：</w:t>
      </w:r>
    </w:p>
    <w:p w:rsidR="00254148" w:rsidRDefault="00847566" w:rsidP="003A65B9">
      <w:pPr>
        <w:rPr>
          <w:rFonts w:ascii="Times New Roman" w:eastAsia="標楷體" w:hAnsi="Times New Roman"/>
        </w:rPr>
      </w:pPr>
      <w:r w:rsidRPr="00331B7E">
        <w:rPr>
          <w:position w:val="-28"/>
        </w:rPr>
        <w:object w:dxaOrig="5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75pt;height:32.65pt" o:ole="">
            <v:imagedata r:id="rId10" o:title=""/>
          </v:shape>
          <o:OLEObject Type="Embed" ProgID="Equation.DSMT4" ShapeID="_x0000_i1025" DrawAspect="Content" ObjectID="_1644840140" r:id="rId11"/>
        </w:object>
      </w:r>
      <w:r w:rsidR="00254148">
        <w:rPr>
          <w:rFonts w:ascii="Times New Roman" w:eastAsia="標楷體" w:hAnsi="Times New Roman" w:hint="eastAsia"/>
        </w:rPr>
        <w:t xml:space="preserve"> </w:t>
      </w:r>
    </w:p>
    <w:p w:rsidR="00234E67" w:rsidRDefault="00234E67" w:rsidP="003A65B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使用分離</w:t>
      </w:r>
      <w:proofErr w:type="gramStart"/>
      <w:r>
        <w:rPr>
          <w:rFonts w:ascii="Times New Roman" w:eastAsia="標楷體" w:hAnsi="Times New Roman" w:hint="eastAsia"/>
        </w:rPr>
        <w:t>核導得</w:t>
      </w:r>
      <w:r w:rsidRPr="00DC6929">
        <w:rPr>
          <w:rFonts w:ascii="Times New Roman" w:eastAsia="標楷體" w:hAnsi="Times New Roman" w:hint="eastAsia"/>
        </w:rPr>
        <w:t>無限域含兩</w:t>
      </w:r>
      <w:proofErr w:type="gramEnd"/>
      <w:r>
        <w:rPr>
          <w:rFonts w:ascii="Times New Roman" w:eastAsia="標楷體" w:hAnsi="Times New Roman" w:hint="eastAsia"/>
        </w:rPr>
        <w:t>不</w:t>
      </w:r>
      <w:r w:rsidRPr="00DC6929">
        <w:rPr>
          <w:rFonts w:ascii="Times New Roman" w:eastAsia="標楷體" w:hAnsi="Times New Roman" w:hint="eastAsia"/>
        </w:rPr>
        <w:t>等圓退化尺度解析公式</w:t>
      </w:r>
      <w:r>
        <w:rPr>
          <w:rFonts w:ascii="Times New Roman" w:eastAsia="標楷體" w:hAnsi="Times New Roman" w:hint="eastAsia"/>
        </w:rPr>
        <w:t>：</w:t>
      </w:r>
    </w:p>
    <w:p w:rsidR="00234E67" w:rsidRDefault="00234E67" w:rsidP="003A65B9">
      <w:pPr>
        <w:rPr>
          <w:rFonts w:ascii="Times New Roman" w:eastAsia="標楷體" w:hAnsi="Times New Roman"/>
        </w:rPr>
      </w:pPr>
      <w:r w:rsidRPr="00331B7E">
        <w:rPr>
          <w:position w:val="-32"/>
        </w:rPr>
        <w:object w:dxaOrig="5580" w:dyaOrig="760">
          <v:shape id="_x0000_i1026" type="#_x0000_t75" style="width:257pt;height:34.35pt" o:ole="">
            <v:imagedata r:id="rId12" o:title=""/>
          </v:shape>
          <o:OLEObject Type="Embed" ProgID="Equation.DSMT4" ShapeID="_x0000_i1026" DrawAspect="Content" ObjectID="_1644840141" r:id="rId13"/>
        </w:object>
      </w:r>
      <w:r w:rsidR="007F290B">
        <w:rPr>
          <w:rFonts w:hint="eastAsia"/>
        </w:rPr>
        <w:t xml:space="preserve"> </w:t>
      </w:r>
      <w:r w:rsidR="007F290B" w:rsidRPr="007F290B">
        <w:rPr>
          <w:rFonts w:ascii="Times New Roman" w:hAnsi="Times New Roman" w:cs="Times New Roman"/>
        </w:rPr>
        <w:t xml:space="preserve">, where </w:t>
      </w:r>
      <w:r w:rsidR="007F290B" w:rsidRPr="007F290B">
        <w:rPr>
          <w:rFonts w:ascii="Times New Roman" w:hAnsi="Times New Roman" w:cs="Times New Roman"/>
          <w:position w:val="-12"/>
        </w:rPr>
        <w:object w:dxaOrig="260" w:dyaOrig="360">
          <v:shape id="_x0000_i1031" type="#_x0000_t75" style="width:13.4pt;height:18.4pt" o:ole="">
            <v:imagedata r:id="rId14" o:title=""/>
          </v:shape>
          <o:OLEObject Type="Embed" ProgID="Equation.DSMT4" ShapeID="_x0000_i1031" DrawAspect="Content" ObjectID="_1644840142" r:id="rId15"/>
        </w:object>
      </w:r>
      <w:r w:rsidR="007F290B" w:rsidRPr="007F290B">
        <w:rPr>
          <w:rFonts w:ascii="Times New Roman" w:hAnsi="Times New Roman" w:cs="Times New Roman"/>
        </w:rPr>
        <w:t xml:space="preserve"> is </w:t>
      </w:r>
      <w:r w:rsidR="007F290B" w:rsidRPr="007F290B">
        <w:rPr>
          <w:rFonts w:ascii="Times New Roman" w:hAnsi="Times New Roman" w:cs="Times New Roman"/>
        </w:rPr>
        <w:t>boundary contour</w:t>
      </w:r>
      <w:r w:rsidR="007F290B" w:rsidRPr="007F290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776E3" w:rsidRDefault="00847566" w:rsidP="00234E67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2336" behindDoc="1" locked="0" layoutInCell="1" allowOverlap="1" wp14:anchorId="5EDD9EBD" wp14:editId="771FA3A8">
            <wp:simplePos x="0" y="0"/>
            <wp:positionH relativeFrom="margin">
              <wp:posOffset>25400</wp:posOffset>
            </wp:positionH>
            <wp:positionV relativeFrom="paragraph">
              <wp:posOffset>24130</wp:posOffset>
            </wp:positionV>
            <wp:extent cx="198374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65" y="21386"/>
                <wp:lineTo x="2136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prog146圖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3360" behindDoc="1" locked="0" layoutInCell="1" allowOverlap="1" wp14:anchorId="071BEC4F" wp14:editId="55453EE8">
            <wp:simplePos x="0" y="0"/>
            <wp:positionH relativeFrom="margin">
              <wp:posOffset>2725420</wp:posOffset>
            </wp:positionH>
            <wp:positionV relativeFrom="paragraph">
              <wp:posOffset>6985</wp:posOffset>
            </wp:positionV>
            <wp:extent cx="3789680" cy="1941195"/>
            <wp:effectExtent l="0" t="0" r="1270" b="1905"/>
            <wp:wrapTight wrapText="bothSides">
              <wp:wrapPolygon edited="0">
                <wp:start x="0" y="0"/>
                <wp:lineTo x="0" y="21409"/>
                <wp:lineTo x="21499" y="21409"/>
                <wp:lineTo x="2149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prog146圖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0776E3" w:rsidRDefault="000776E3" w:rsidP="00234E67">
      <w:pPr>
        <w:jc w:val="both"/>
        <w:rPr>
          <w:rFonts w:ascii="Times New Roman" w:eastAsia="標楷體" w:hAnsi="Times New Roman"/>
        </w:rPr>
      </w:pPr>
    </w:p>
    <w:p w:rsidR="00847566" w:rsidRDefault="00847566" w:rsidP="00847566">
      <w:pPr>
        <w:spacing w:line="2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</w:t>
      </w:r>
      <w:r>
        <w:rPr>
          <w:rFonts w:ascii="Times New Roman" w:eastAsia="標楷體" w:hAnsi="Times New Roman" w:hint="eastAsia"/>
        </w:rPr>
        <w:t>圖三</w:t>
      </w:r>
      <w:r>
        <w:rPr>
          <w:rFonts w:ascii="Times New Roman" w:eastAsia="標楷體" w:hAnsi="Times New Roman" w:hint="eastAsia"/>
        </w:rPr>
        <w:t xml:space="preserve">                                            </w:t>
      </w:r>
      <w:r>
        <w:rPr>
          <w:rFonts w:ascii="Times New Roman" w:eastAsia="標楷體" w:hAnsi="Times New Roman" w:hint="eastAsia"/>
        </w:rPr>
        <w:t>表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</w:p>
    <w:p w:rsidR="003C6B75" w:rsidRPr="003C6B75" w:rsidRDefault="00234E67" w:rsidP="00847566">
      <w:pPr>
        <w:spacing w:line="2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可利用圖一與圖二之關係證明此兩公式等價</w:t>
      </w:r>
      <w:r w:rsidR="00847566">
        <w:rPr>
          <w:rFonts w:ascii="Times New Roman" w:eastAsia="標楷體" w:hAnsi="Times New Roman" w:hint="eastAsia"/>
        </w:rPr>
        <w:t>。此研究並未在</w:t>
      </w:r>
      <w:r w:rsidR="00847566">
        <w:rPr>
          <w:rFonts w:ascii="Times New Roman" w:eastAsia="標楷體" w:hAnsi="Times New Roman" w:hint="eastAsia"/>
        </w:rPr>
        <w:t>[</w:t>
      </w:r>
      <w:r w:rsidR="00847566">
        <w:rPr>
          <w:rFonts w:ascii="Times New Roman" w:eastAsia="標楷體" w:hAnsi="Times New Roman"/>
        </w:rPr>
        <w:t>4-</w:t>
      </w:r>
      <w:r w:rsidR="00847566">
        <w:rPr>
          <w:rFonts w:ascii="Times New Roman" w:eastAsia="標楷體" w:hAnsi="Times New Roman" w:hint="eastAsia"/>
        </w:rPr>
        <w:t>5]</w:t>
      </w:r>
      <w:r w:rsidR="00847566">
        <w:rPr>
          <w:rFonts w:ascii="Times New Roman" w:eastAsia="標楷體" w:hAnsi="Times New Roman" w:hint="eastAsia"/>
        </w:rPr>
        <w:t>被提及，且由表</w:t>
      </w:r>
      <w:proofErr w:type="gramStart"/>
      <w:r w:rsidR="00847566">
        <w:rPr>
          <w:rFonts w:ascii="Times New Roman" w:eastAsia="標楷體" w:hAnsi="Times New Roman" w:hint="eastAsia"/>
        </w:rPr>
        <w:t>一</w:t>
      </w:r>
      <w:proofErr w:type="gramEnd"/>
      <w:r w:rsidR="00847566" w:rsidRPr="00441753">
        <w:rPr>
          <w:position w:val="-10"/>
        </w:rPr>
        <w:object w:dxaOrig="740" w:dyaOrig="320">
          <v:shape id="_x0000_i1027" type="#_x0000_t75" style="width:36.85pt;height:15.05pt" o:ole="">
            <v:imagedata r:id="rId18" o:title=""/>
          </v:shape>
          <o:OLEObject Type="Embed" ProgID="Equation.DSMT4" ShapeID="_x0000_i1027" DrawAspect="Content" ObjectID="_1644840143" r:id="rId19"/>
        </w:object>
      </w:r>
      <w:r w:rsidR="00847566">
        <w:rPr>
          <w:rFonts w:ascii="Times New Roman" w:eastAsia="標楷體" w:hAnsi="Times New Roman" w:hint="eastAsia"/>
        </w:rPr>
        <w:t>可顯示</w:t>
      </w:r>
      <w:r w:rsidR="00847566">
        <w:rPr>
          <w:rFonts w:ascii="Times New Roman" w:eastAsia="標楷體" w:hAnsi="Times New Roman" w:hint="eastAsia"/>
        </w:rPr>
        <w:t>[4-5]</w:t>
      </w:r>
      <w:r w:rsidR="00847566">
        <w:rPr>
          <w:rFonts w:ascii="Times New Roman" w:eastAsia="標楷體" w:hAnsi="Times New Roman" w:hint="eastAsia"/>
        </w:rPr>
        <w:t>是我們的特例之</w:t>
      </w:r>
      <w:proofErr w:type="gramStart"/>
      <w:r w:rsidR="00847566">
        <w:rPr>
          <w:rFonts w:ascii="Times New Roman" w:eastAsia="標楷體" w:hAnsi="Times New Roman" w:hint="eastAsia"/>
        </w:rPr>
        <w:t>一</w:t>
      </w:r>
      <w:proofErr w:type="gramEnd"/>
      <w:r w:rsidR="00847566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BEM</w:t>
      </w:r>
      <w:r w:rsidR="00847566">
        <w:rPr>
          <w:rFonts w:ascii="Times New Roman" w:eastAsia="標楷體" w:hAnsi="Times New Roman" w:hint="eastAsia"/>
        </w:rPr>
        <w:t>之結果亦吻合如圖三</w:t>
      </w:r>
      <w:r w:rsidR="00847566" w:rsidRPr="00441753">
        <w:rPr>
          <w:position w:val="-10"/>
        </w:rPr>
        <w:object w:dxaOrig="1320" w:dyaOrig="320">
          <v:shape id="_x0000_i1028" type="#_x0000_t75" style="width:65.3pt;height:15.05pt" o:ole="">
            <v:imagedata r:id="rId20" o:title=""/>
          </v:shape>
          <o:OLEObject Type="Embed" ProgID="Equation.DSMT4" ShapeID="_x0000_i1028" DrawAspect="Content" ObjectID="_1644840144" r:id="rId21"/>
        </w:object>
      </w:r>
      <w:r w:rsidR="00847566">
        <w:rPr>
          <w:rFonts w:ascii="Times New Roman" w:eastAsia="標楷體" w:hAnsi="Times New Roman" w:hint="eastAsia"/>
        </w:rPr>
        <w:t>。</w:t>
      </w:r>
      <w:r w:rsidR="00351E66">
        <w:rPr>
          <w:rFonts w:ascii="Times New Roman" w:eastAsia="標楷體" w:hAnsi="Times New Roman" w:hint="eastAsia"/>
        </w:rPr>
        <w:t>由此問題亦可看出</w:t>
      </w:r>
      <w:proofErr w:type="gramStart"/>
      <w:r w:rsidR="00351E66">
        <w:rPr>
          <w:rFonts w:ascii="Times New Roman" w:eastAsia="標楷體" w:hAnsi="Times New Roman" w:hint="eastAsia"/>
        </w:rPr>
        <w:t>以保角映射技巧導得之</w:t>
      </w:r>
      <w:proofErr w:type="gramEnd"/>
      <w:r w:rsidR="00351E66">
        <w:rPr>
          <w:rFonts w:ascii="Times New Roman" w:eastAsia="標楷體" w:hAnsi="Times New Roman" w:hint="eastAsia"/>
        </w:rPr>
        <w:t>解析公式較為直觀，過程較不繁瑣，</w:t>
      </w:r>
      <w:proofErr w:type="gramStart"/>
      <w:r w:rsidR="00351E66">
        <w:rPr>
          <w:rFonts w:ascii="Times New Roman" w:eastAsia="標楷體" w:hAnsi="Times New Roman" w:hint="eastAsia"/>
        </w:rPr>
        <w:t>詳請見</w:t>
      </w:r>
      <w:proofErr w:type="gramEnd"/>
      <w:r w:rsidR="00D60C28">
        <w:rPr>
          <w:rFonts w:ascii="Times New Roman" w:eastAsia="標楷體" w:hAnsi="Times New Roman" w:hint="eastAsia"/>
        </w:rPr>
        <w:t>N</w:t>
      </w:r>
      <w:r w:rsidR="00D60C28">
        <w:rPr>
          <w:rFonts w:ascii="Times New Roman" w:eastAsia="標楷體" w:hAnsi="Times New Roman"/>
        </w:rPr>
        <w:t>ote 2</w:t>
      </w:r>
      <w:r w:rsidR="00351E66">
        <w:rPr>
          <w:rFonts w:ascii="Times New Roman" w:eastAsia="標楷體" w:hAnsi="Times New Roman" w:hint="eastAsia"/>
        </w:rPr>
        <w:t>。且因</w:t>
      </w:r>
      <w:r w:rsidR="00351E66" w:rsidRPr="00D42F8D">
        <w:rPr>
          <w:rFonts w:ascii="標楷體" w:eastAsia="標楷體" w:hAnsi="標楷體" w:cs="璅扑擃?" w:hint="eastAsia"/>
          <w:kern w:val="0"/>
          <w:szCs w:val="24"/>
        </w:rPr>
        <w:t>分離核不能用於推導一般幾何形狀的退化尺度</w:t>
      </w:r>
      <w:r w:rsidR="00351E66">
        <w:rPr>
          <w:rFonts w:ascii="標楷體" w:eastAsia="標楷體" w:hAnsi="標楷體" w:hint="eastAsia"/>
          <w:szCs w:val="24"/>
        </w:rPr>
        <w:t>，所以</w:t>
      </w:r>
      <w:proofErr w:type="gramStart"/>
      <w:r w:rsidR="00351E66">
        <w:rPr>
          <w:rFonts w:ascii="標楷體" w:eastAsia="標楷體" w:hAnsi="標楷體" w:cs="璅扑擃?" w:hint="eastAsia"/>
          <w:kern w:val="0"/>
          <w:szCs w:val="24"/>
        </w:rPr>
        <w:t>利</w:t>
      </w:r>
      <w:r w:rsidR="00351E66" w:rsidRPr="00D42F8D">
        <w:rPr>
          <w:rFonts w:ascii="標楷體" w:eastAsia="標楷體" w:hAnsi="標楷體" w:cs="璅扑擃?" w:hint="eastAsia"/>
          <w:kern w:val="0"/>
          <w:szCs w:val="24"/>
        </w:rPr>
        <w:t>用保角映射</w:t>
      </w:r>
      <w:proofErr w:type="gramEnd"/>
      <w:r>
        <w:rPr>
          <w:rFonts w:ascii="標楷體" w:eastAsia="標楷體" w:hAnsi="標楷體" w:cs="璅扑擃?" w:hint="eastAsia"/>
          <w:kern w:val="0"/>
          <w:szCs w:val="24"/>
        </w:rPr>
        <w:t>技巧</w:t>
      </w:r>
      <w:r w:rsidR="00351E66" w:rsidRPr="00D42F8D">
        <w:rPr>
          <w:rFonts w:ascii="標楷體" w:eastAsia="標楷體" w:hAnsi="標楷體" w:cs="璅扑擃?" w:hint="eastAsia"/>
          <w:kern w:val="0"/>
          <w:szCs w:val="24"/>
        </w:rPr>
        <w:t>來解決</w:t>
      </w:r>
      <w:r w:rsidR="00351E66">
        <w:rPr>
          <w:rFonts w:ascii="標楷體" w:eastAsia="標楷體" w:hAnsi="標楷體" w:cs="璅扑擃?" w:hint="eastAsia"/>
          <w:kern w:val="0"/>
          <w:szCs w:val="24"/>
        </w:rPr>
        <w:t>，對後續研究發展空間來說彈性比較大</w:t>
      </w:r>
      <w:r w:rsidR="007F290B">
        <w:rPr>
          <w:rFonts w:ascii="標楷體" w:eastAsia="標楷體" w:hAnsi="標楷體" w:cs="璅扑擃?" w:hint="eastAsia"/>
          <w:kern w:val="0"/>
          <w:szCs w:val="24"/>
        </w:rPr>
        <w:t>，見</w:t>
      </w:r>
      <w:proofErr w:type="spellStart"/>
      <w:r w:rsidR="007F290B">
        <w:rPr>
          <w:rFonts w:ascii="Times New Roman" w:eastAsia="標楷體" w:hAnsi="Times New Roman" w:hint="eastAsia"/>
        </w:rPr>
        <w:t>B</w:t>
      </w:r>
      <w:r w:rsidR="007F290B">
        <w:rPr>
          <w:rFonts w:ascii="Times New Roman" w:eastAsia="標楷體" w:hAnsi="Times New Roman"/>
        </w:rPr>
        <w:t>eprog</w:t>
      </w:r>
      <w:proofErr w:type="spellEnd"/>
      <w:r w:rsidR="007F290B">
        <w:rPr>
          <w:rFonts w:ascii="Times New Roman" w:eastAsia="標楷體" w:hAnsi="Times New Roman"/>
        </w:rPr>
        <w:t xml:space="preserve"> 147</w:t>
      </w:r>
      <w:r w:rsidR="00351E66">
        <w:rPr>
          <w:rFonts w:ascii="Times New Roman" w:eastAsia="標楷體" w:hAnsi="Times New Roman" w:hint="eastAsia"/>
        </w:rPr>
        <w:t>。</w:t>
      </w:r>
    </w:p>
    <w:p w:rsidR="00574DE7" w:rsidRPr="00254148" w:rsidRDefault="00574DE7" w:rsidP="00847566">
      <w:pPr>
        <w:spacing w:line="220" w:lineRule="exact"/>
        <w:rPr>
          <w:rFonts w:ascii="Times New Roman" w:eastAsia="標楷體" w:hAnsi="Times New Roman"/>
          <w:b/>
        </w:rPr>
      </w:pPr>
      <w:r w:rsidRPr="00254148">
        <w:rPr>
          <w:rFonts w:ascii="Times New Roman" w:eastAsia="標楷體" w:hAnsi="Times New Roman" w:hint="eastAsia"/>
          <w:b/>
        </w:rPr>
        <w:t>References</w:t>
      </w:r>
    </w:p>
    <w:p w:rsidR="00351E66" w:rsidRDefault="00351E66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 w:rsidRPr="002D4A89">
        <w:rPr>
          <w:rFonts w:ascii="Times New Roman" w:eastAsia="標楷體" w:hAnsi="Times New Roman"/>
          <w:szCs w:val="24"/>
        </w:rPr>
        <w:t xml:space="preserve">J.T. Chen, S.K. Kao, J.W. Lee, Analytical derivation and numerical experiment of degenerate scale by </w:t>
      </w:r>
      <w:r w:rsidRPr="003C6B75">
        <w:rPr>
          <w:rFonts w:ascii="Times New Roman" w:eastAsia="標楷體" w:hAnsi="Times New Roman"/>
          <w:szCs w:val="24"/>
        </w:rPr>
        <w:t>using the degenerate kernel of the bipolar coordinates, Eng. Anal. Bound. Elem, 85 (2017) 70-86.</w:t>
      </w:r>
    </w:p>
    <w:p w:rsidR="00351E66" w:rsidRPr="00351E66" w:rsidRDefault="00351E66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 w:rsidRPr="00351E66">
        <w:rPr>
          <w:rFonts w:ascii="Times New Roman" w:eastAsia="標楷體" w:hAnsi="Times New Roman"/>
        </w:rPr>
        <w:t xml:space="preserve">S.R. </w:t>
      </w:r>
      <w:proofErr w:type="spellStart"/>
      <w:r w:rsidRPr="00351E66">
        <w:rPr>
          <w:rFonts w:ascii="Times New Roman" w:eastAsia="標楷體" w:hAnsi="Times New Roman"/>
        </w:rPr>
        <w:t>Kuo</w:t>
      </w:r>
      <w:proofErr w:type="spellEnd"/>
      <w:r w:rsidRPr="00351E66">
        <w:rPr>
          <w:rFonts w:ascii="Times New Roman" w:eastAsia="標楷體" w:hAnsi="Times New Roman"/>
        </w:rPr>
        <w:t>, S.K. Kao, Y.L. Huang, J.T. Chen, Revisit of the degenerate scale for an infinite plane problem containing two circular holes using conformal mapping, Applied Mathematics Letters, 92</w:t>
      </w:r>
      <w:r>
        <w:rPr>
          <w:rFonts w:ascii="Times New Roman" w:eastAsia="標楷體" w:hAnsi="Times New Roman" w:hint="eastAsia"/>
        </w:rPr>
        <w:t xml:space="preserve"> (2019)</w:t>
      </w:r>
      <w:r>
        <w:rPr>
          <w:rFonts w:ascii="Times New Roman" w:eastAsia="標楷體" w:hAnsi="Times New Roman"/>
        </w:rPr>
        <w:t xml:space="preserve"> </w:t>
      </w:r>
      <w:r w:rsidRPr="00351E66">
        <w:rPr>
          <w:rFonts w:ascii="Times New Roman" w:eastAsia="標楷體" w:hAnsi="Times New Roman"/>
        </w:rPr>
        <w:t>99</w:t>
      </w:r>
      <w:r>
        <w:rPr>
          <w:rFonts w:ascii="Times New Roman" w:eastAsia="標楷體" w:hAnsi="Times New Roman" w:hint="eastAsia"/>
        </w:rPr>
        <w:t>-</w:t>
      </w:r>
      <w:r w:rsidRPr="00351E66">
        <w:rPr>
          <w:rFonts w:ascii="Times New Roman" w:eastAsia="標楷體" w:hAnsi="Times New Roman"/>
        </w:rPr>
        <w:t>107.</w:t>
      </w:r>
    </w:p>
    <w:p w:rsidR="00351E66" w:rsidRDefault="00847566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S.R. </w:t>
      </w:r>
      <w:proofErr w:type="spellStart"/>
      <w:r>
        <w:rPr>
          <w:rFonts w:ascii="Times New Roman" w:eastAsia="標楷體" w:hAnsi="Times New Roman"/>
          <w:szCs w:val="24"/>
        </w:rPr>
        <w:t>Kuo</w:t>
      </w:r>
      <w:proofErr w:type="spellEnd"/>
      <w:r>
        <w:rPr>
          <w:rFonts w:ascii="Times New Roman" w:eastAsia="標楷體" w:hAnsi="Times New Roman"/>
          <w:szCs w:val="24"/>
        </w:rPr>
        <w:t>, J.T. Chen, S.</w:t>
      </w:r>
      <w:r w:rsidR="00351E66" w:rsidRPr="00C0674C">
        <w:rPr>
          <w:rFonts w:ascii="Times New Roman" w:eastAsia="標楷體" w:hAnsi="Times New Roman"/>
          <w:szCs w:val="24"/>
        </w:rPr>
        <w:t>K. Kao, Linkage between the unit logarithmic capacity in the theory of complex variables and the degenerate scale in the BEM/BIEMs, Appl. Math. Lett., 26(9) (2013) 929-938.</w:t>
      </w:r>
    </w:p>
    <w:p w:rsidR="00C0674C" w:rsidRPr="00351E66" w:rsidRDefault="00351E66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 w:rsidRPr="00351E66">
        <w:rPr>
          <w:rFonts w:ascii="Times New Roman" w:eastAsia="標楷體" w:hAnsi="Times New Roman"/>
          <w:szCs w:val="24"/>
        </w:rPr>
        <w:t xml:space="preserve">R.S. </w:t>
      </w:r>
      <w:proofErr w:type="spellStart"/>
      <w:r w:rsidRPr="00351E66">
        <w:rPr>
          <w:rFonts w:ascii="Times New Roman" w:eastAsia="標楷體" w:hAnsi="Times New Roman"/>
          <w:szCs w:val="24"/>
        </w:rPr>
        <w:t>Rumely</w:t>
      </w:r>
      <w:proofErr w:type="spellEnd"/>
      <w:r w:rsidRPr="00351E66">
        <w:rPr>
          <w:rFonts w:ascii="Times New Roman" w:eastAsia="標楷體" w:hAnsi="Times New Roman"/>
          <w:szCs w:val="24"/>
        </w:rPr>
        <w:t>. Capacity Theory on Algebraic Curves. Lecture Notes in Mathematics 1378. Berlin (BER): Springer-</w:t>
      </w:r>
      <w:proofErr w:type="spellStart"/>
      <w:r w:rsidRPr="00351E66">
        <w:rPr>
          <w:rFonts w:ascii="Times New Roman" w:eastAsia="標楷體" w:hAnsi="Times New Roman"/>
          <w:szCs w:val="24"/>
        </w:rPr>
        <w:t>Verlag</w:t>
      </w:r>
      <w:proofErr w:type="spellEnd"/>
      <w:r w:rsidRPr="00351E66">
        <w:rPr>
          <w:rFonts w:ascii="Times New Roman" w:eastAsia="標楷體" w:hAnsi="Times New Roman" w:hint="eastAsia"/>
          <w:szCs w:val="24"/>
        </w:rPr>
        <w:t>,</w:t>
      </w:r>
      <w:r w:rsidRPr="00351E66">
        <w:rPr>
          <w:rFonts w:ascii="Times New Roman" w:eastAsia="標楷體" w:hAnsi="Times New Roman"/>
          <w:szCs w:val="24"/>
        </w:rPr>
        <w:t xml:space="preserve"> 1989.</w:t>
      </w:r>
    </w:p>
    <w:p w:rsidR="00351E66" w:rsidRDefault="00351E66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 w:rsidRPr="0019583E">
        <w:rPr>
          <w:rFonts w:ascii="Times New Roman" w:eastAsia="標楷體" w:hAnsi="Times New Roman"/>
          <w:szCs w:val="24"/>
        </w:rPr>
        <w:t xml:space="preserve">A. </w:t>
      </w:r>
      <w:proofErr w:type="spellStart"/>
      <w:r w:rsidRPr="0019583E">
        <w:rPr>
          <w:rFonts w:ascii="Times New Roman" w:eastAsia="標楷體" w:hAnsi="Times New Roman"/>
          <w:szCs w:val="24"/>
        </w:rPr>
        <w:t>Corfdir</w:t>
      </w:r>
      <w:proofErr w:type="spellEnd"/>
      <w:r w:rsidRPr="0019583E">
        <w:rPr>
          <w:rFonts w:ascii="Times New Roman" w:eastAsia="標楷體" w:hAnsi="Times New Roman"/>
          <w:szCs w:val="24"/>
        </w:rPr>
        <w:t>, G. Bonnet, Degenerate scale for the Laplace problem in the half plane; approximate logarithmic capacity for two distant boundaries, Eng. Anal. Bound. Elem. 37 (2014) 836</w:t>
      </w:r>
      <w:r>
        <w:rPr>
          <w:rFonts w:ascii="Times New Roman" w:eastAsia="標楷體" w:hAnsi="Times New Roman" w:hint="eastAsia"/>
          <w:szCs w:val="24"/>
        </w:rPr>
        <w:t>-</w:t>
      </w:r>
      <w:r w:rsidRPr="0019583E">
        <w:rPr>
          <w:rFonts w:ascii="Times New Roman" w:eastAsia="標楷體" w:hAnsi="Times New Roman"/>
          <w:szCs w:val="24"/>
        </w:rPr>
        <w:t>841.</w:t>
      </w:r>
    </w:p>
    <w:p w:rsidR="000776E3" w:rsidRPr="000776E3" w:rsidRDefault="002D4A89" w:rsidP="00847566">
      <w:pPr>
        <w:numPr>
          <w:ilvl w:val="0"/>
          <w:numId w:val="1"/>
        </w:numPr>
        <w:spacing w:line="220" w:lineRule="exact"/>
        <w:jc w:val="both"/>
        <w:rPr>
          <w:rFonts w:ascii="Times New Roman" w:eastAsia="標楷體" w:hAnsi="Times New Roman"/>
          <w:szCs w:val="24"/>
        </w:rPr>
      </w:pPr>
      <w:r w:rsidRPr="002D4A89">
        <w:rPr>
          <w:rFonts w:ascii="Times New Roman" w:eastAsia="標楷體" w:hAnsi="Times New Roman"/>
          <w:szCs w:val="24"/>
        </w:rPr>
        <w:t xml:space="preserve">H. </w:t>
      </w:r>
      <w:proofErr w:type="spellStart"/>
      <w:r w:rsidRPr="002D4A89">
        <w:rPr>
          <w:rFonts w:ascii="Times New Roman" w:eastAsia="標楷體" w:hAnsi="Times New Roman"/>
          <w:szCs w:val="24"/>
        </w:rPr>
        <w:t>Kober</w:t>
      </w:r>
      <w:proofErr w:type="spellEnd"/>
      <w:r w:rsidRPr="002D4A89">
        <w:rPr>
          <w:rFonts w:ascii="Times New Roman" w:eastAsia="標楷體" w:hAnsi="Times New Roman"/>
          <w:szCs w:val="24"/>
        </w:rPr>
        <w:t>, Dictionary of conformal representations, Dover Publications, 1957.</w:t>
      </w:r>
    </w:p>
    <w:p w:rsidR="00C0674C" w:rsidRPr="003C6B75" w:rsidRDefault="00C0674C" w:rsidP="00847566">
      <w:pPr>
        <w:spacing w:line="220" w:lineRule="exact"/>
        <w:rPr>
          <w:rFonts w:ascii="Times New Roman" w:eastAsia="標楷體" w:hAnsi="Times New Roman"/>
          <w:b/>
        </w:rPr>
      </w:pPr>
      <w:r w:rsidRPr="003C6B75">
        <w:rPr>
          <w:rFonts w:ascii="Times New Roman" w:eastAsia="標楷體" w:hAnsi="Times New Roman"/>
          <w:b/>
        </w:rPr>
        <w:t>Note</w:t>
      </w:r>
    </w:p>
    <w:p w:rsidR="00501A7F" w:rsidRPr="003C6B75" w:rsidRDefault="003C6B75" w:rsidP="00847566">
      <w:pPr>
        <w:spacing w:line="2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 w:rsidR="000776E3">
        <w:rPr>
          <w:rFonts w:ascii="Times New Roman" w:eastAsia="標楷體" w:hAnsi="Times New Roman" w:hint="eastAsia"/>
        </w:rPr>
        <w:t>黃乙玲獲</w:t>
      </w:r>
      <w:r w:rsidR="00A80C27" w:rsidRPr="00A80C27">
        <w:rPr>
          <w:rFonts w:ascii="Times New Roman" w:eastAsia="標楷體" w:hAnsi="Times New Roman" w:hint="eastAsia"/>
        </w:rPr>
        <w:t>中國工程師學會學生論文競賽</w:t>
      </w:r>
      <w:r w:rsidR="00A80C27">
        <w:rPr>
          <w:rFonts w:ascii="Times New Roman" w:eastAsia="標楷體" w:hAnsi="Times New Roman" w:hint="eastAsia"/>
        </w:rPr>
        <w:t>機械組</w:t>
      </w:r>
      <w:r w:rsidR="00A80C27">
        <w:rPr>
          <w:rFonts w:ascii="Times New Roman" w:eastAsia="標楷體" w:hAnsi="Times New Roman" w:hint="eastAsia"/>
        </w:rPr>
        <w:t>-</w:t>
      </w:r>
      <w:r w:rsidR="00A80C27">
        <w:rPr>
          <w:rFonts w:ascii="Times New Roman" w:eastAsia="標楷體" w:hAnsi="Times New Roman" w:hint="eastAsia"/>
        </w:rPr>
        <w:t>優等</w:t>
      </w:r>
      <w:r w:rsidR="000776E3">
        <w:rPr>
          <w:rFonts w:ascii="Times New Roman" w:eastAsia="標楷體" w:hAnsi="Times New Roman" w:hint="eastAsia"/>
        </w:rPr>
        <w:t>(2019)</w:t>
      </w:r>
    </w:p>
    <w:p w:rsidR="00C0674C" w:rsidRPr="003C6B75" w:rsidRDefault="00C0674C" w:rsidP="00847566">
      <w:pPr>
        <w:spacing w:line="220" w:lineRule="exact"/>
        <w:jc w:val="both"/>
        <w:rPr>
          <w:rFonts w:ascii="Times New Roman" w:eastAsia="標楷體" w:hAnsi="Times New Roman"/>
        </w:rPr>
      </w:pPr>
      <w:r w:rsidRPr="003C6B75">
        <w:rPr>
          <w:rFonts w:ascii="Times New Roman" w:eastAsia="標楷體" w:hAnsi="Times New Roman" w:hint="eastAsia"/>
        </w:rPr>
        <w:t xml:space="preserve">2. </w:t>
      </w:r>
      <w:r w:rsidR="00A80C27" w:rsidRPr="00A80C27">
        <w:rPr>
          <w:rFonts w:ascii="Times New Roman" w:eastAsia="標楷體" w:hAnsi="Times New Roman"/>
        </w:rPr>
        <w:t xml:space="preserve">J. T. Chen. S. R. </w:t>
      </w:r>
      <w:proofErr w:type="spellStart"/>
      <w:r w:rsidR="00A80C27" w:rsidRPr="00A80C27">
        <w:rPr>
          <w:rFonts w:ascii="Times New Roman" w:eastAsia="標楷體" w:hAnsi="Times New Roman"/>
        </w:rPr>
        <w:t>Kuo</w:t>
      </w:r>
      <w:proofErr w:type="spellEnd"/>
      <w:r w:rsidR="00A80C27" w:rsidRPr="00A80C27">
        <w:rPr>
          <w:rFonts w:ascii="Times New Roman" w:eastAsia="標楷體" w:hAnsi="Times New Roman"/>
        </w:rPr>
        <w:t>. KT. Lien and Y L Huang, 20</w:t>
      </w:r>
      <w:r w:rsidR="000776E3">
        <w:rPr>
          <w:rFonts w:ascii="Times New Roman" w:eastAsia="標楷體" w:hAnsi="Times New Roman" w:hint="eastAsia"/>
        </w:rPr>
        <w:t>20</w:t>
      </w:r>
      <w:r w:rsidR="00A80C27" w:rsidRPr="00A80C27">
        <w:rPr>
          <w:rFonts w:ascii="Times New Roman" w:eastAsia="標楷體" w:hAnsi="Times New Roman"/>
        </w:rPr>
        <w:t>, On the degenerate scale of an infinite plane containing two unequal circles, Advances in Applied Mathematics and Mechanics, Accepted.</w:t>
      </w:r>
    </w:p>
    <w:p w:rsidR="003C6B75" w:rsidRPr="003C6B75" w:rsidRDefault="003C6B75" w:rsidP="00847566">
      <w:pPr>
        <w:spacing w:line="2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3C6B75">
        <w:rPr>
          <w:rFonts w:ascii="Times New Roman" w:eastAsia="標楷體" w:hAnsi="Times New Roman" w:hint="eastAsia"/>
        </w:rPr>
        <w:t>黃乙玲</w:t>
      </w:r>
      <w:r w:rsidRPr="003C6B75">
        <w:rPr>
          <w:rFonts w:ascii="Times New Roman" w:eastAsia="標楷體" w:hAnsi="Times New Roman" w:hint="eastAsia"/>
        </w:rPr>
        <w:t>-</w:t>
      </w:r>
      <w:r w:rsidRPr="003C6B75">
        <w:rPr>
          <w:rFonts w:ascii="Times New Roman" w:eastAsia="標楷體" w:hAnsi="Times New Roman" w:hint="eastAsia"/>
        </w:rPr>
        <w:t>科技部大專生計畫</w:t>
      </w:r>
      <w:r w:rsidRPr="003C6B75">
        <w:rPr>
          <w:rFonts w:ascii="Times New Roman" w:eastAsia="標楷體" w:hAnsi="Times New Roman" w:hint="eastAsia"/>
        </w:rPr>
        <w:t>-</w:t>
      </w:r>
      <w:proofErr w:type="gramStart"/>
      <w:r w:rsidRPr="003C6B75">
        <w:rPr>
          <w:rFonts w:ascii="Times New Roman" w:eastAsia="標楷體" w:hAnsi="Times New Roman" w:hint="eastAsia"/>
        </w:rPr>
        <w:t>無限域含兩等</w:t>
      </w:r>
      <w:proofErr w:type="gramEnd"/>
      <w:r w:rsidRPr="003C6B75">
        <w:rPr>
          <w:rFonts w:ascii="Times New Roman" w:eastAsia="標楷體" w:hAnsi="Times New Roman" w:hint="eastAsia"/>
        </w:rPr>
        <w:t>圓洞之邊界元退化尺度問題</w:t>
      </w:r>
      <w:proofErr w:type="gramStart"/>
      <w:r w:rsidRPr="003C6B75">
        <w:rPr>
          <w:rFonts w:ascii="Times New Roman" w:eastAsia="標楷體" w:hAnsi="Times New Roman" w:hint="eastAsia"/>
        </w:rPr>
        <w:t>複</w:t>
      </w:r>
      <w:proofErr w:type="gramEnd"/>
      <w:r w:rsidRPr="003C6B75">
        <w:rPr>
          <w:rFonts w:ascii="Times New Roman" w:eastAsia="標楷體" w:hAnsi="Times New Roman" w:hint="eastAsia"/>
        </w:rPr>
        <w:t>變解析</w:t>
      </w:r>
      <w:r w:rsidR="000776E3" w:rsidRPr="003C6B75">
        <w:rPr>
          <w:rFonts w:ascii="Times New Roman" w:eastAsia="標楷體" w:hAnsi="Times New Roman" w:hint="eastAsia"/>
        </w:rPr>
        <w:t>(107-2813-C-019-015-E)</w:t>
      </w:r>
    </w:p>
    <w:sectPr w:rsidR="003C6B75" w:rsidRPr="003C6B75" w:rsidSect="003C6B75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97" w:rsidRDefault="00851097" w:rsidP="009F0708">
      <w:r>
        <w:separator/>
      </w:r>
    </w:p>
  </w:endnote>
  <w:endnote w:type="continuationSeparator" w:id="0">
    <w:p w:rsidR="00851097" w:rsidRDefault="00851097" w:rsidP="009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B8" w:rsidRDefault="003C6B75">
    <w:pPr>
      <w:pStyle w:val="a5"/>
    </w:pPr>
    <w:r>
      <w:rPr>
        <w:rFonts w:ascii="標楷體" w:eastAsia="標楷體" w:hAnsi="標楷體" w:hint="eastAsia"/>
        <w:szCs w:val="24"/>
      </w:rPr>
      <w:t xml:space="preserve">                                       </w:t>
    </w:r>
    <w:r w:rsidR="00234E67">
      <w:rPr>
        <w:rFonts w:ascii="標楷體" w:eastAsia="標楷體" w:hAnsi="標楷體" w:hint="eastAsia"/>
        <w:szCs w:val="24"/>
      </w:rPr>
      <w:t xml:space="preserve">                               </w:t>
    </w:r>
    <w:r>
      <w:rPr>
        <w:rFonts w:ascii="標楷體" w:eastAsia="標楷體" w:hAnsi="標楷體" w:hint="eastAsia"/>
        <w:szCs w:val="24"/>
      </w:rPr>
      <w:t>Beprog14</w:t>
    </w:r>
    <w:r w:rsidR="00A80C27">
      <w:rPr>
        <w:rFonts w:ascii="標楷體" w:eastAsia="標楷體" w:hAnsi="標楷體"/>
        <w:szCs w:val="24"/>
      </w:rPr>
      <w:t>6</w:t>
    </w:r>
    <w:r>
      <w:rPr>
        <w:rFonts w:ascii="標楷體" w:eastAsia="標楷體" w:hAnsi="標楷體" w:hint="eastAsia"/>
        <w:szCs w:val="24"/>
      </w:rPr>
      <w:t xml:space="preserve">.doc 2020.03.03 </w:t>
    </w:r>
    <w:r>
      <w:rPr>
        <w:rFonts w:ascii="標楷體" w:eastAsia="標楷體" w:hAnsi="標楷體"/>
        <w:szCs w:val="24"/>
      </w:rPr>
      <w:t xml:space="preserve">by </w:t>
    </w:r>
    <w:r>
      <w:rPr>
        <w:rFonts w:ascii="標楷體" w:eastAsia="標楷體" w:hAnsi="標楷體" w:hint="eastAsia"/>
        <w:szCs w:val="24"/>
      </w:rPr>
      <w:t>YL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97" w:rsidRDefault="00851097" w:rsidP="009F0708">
      <w:r>
        <w:separator/>
      </w:r>
    </w:p>
  </w:footnote>
  <w:footnote w:type="continuationSeparator" w:id="0">
    <w:p w:rsidR="00851097" w:rsidRDefault="00851097" w:rsidP="009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F"/>
    <w:rsid w:val="00036AEF"/>
    <w:rsid w:val="00047FD5"/>
    <w:rsid w:val="000776E3"/>
    <w:rsid w:val="00086863"/>
    <w:rsid w:val="000F7B7A"/>
    <w:rsid w:val="00147A3A"/>
    <w:rsid w:val="0018665B"/>
    <w:rsid w:val="0019583E"/>
    <w:rsid w:val="00233C53"/>
    <w:rsid w:val="00234E67"/>
    <w:rsid w:val="00241A3B"/>
    <w:rsid w:val="00254148"/>
    <w:rsid w:val="002A3691"/>
    <w:rsid w:val="002D4A89"/>
    <w:rsid w:val="0031380B"/>
    <w:rsid w:val="00330C61"/>
    <w:rsid w:val="00351E66"/>
    <w:rsid w:val="003908AC"/>
    <w:rsid w:val="003A65B9"/>
    <w:rsid w:val="003C6B75"/>
    <w:rsid w:val="003C7245"/>
    <w:rsid w:val="003D16D6"/>
    <w:rsid w:val="003E3B81"/>
    <w:rsid w:val="00417AA4"/>
    <w:rsid w:val="00441753"/>
    <w:rsid w:val="00441EB8"/>
    <w:rsid w:val="00443983"/>
    <w:rsid w:val="00452F9E"/>
    <w:rsid w:val="004B072B"/>
    <w:rsid w:val="00501A7F"/>
    <w:rsid w:val="00562F47"/>
    <w:rsid w:val="00570E12"/>
    <w:rsid w:val="00574DE7"/>
    <w:rsid w:val="005B4772"/>
    <w:rsid w:val="005E3CB7"/>
    <w:rsid w:val="00680514"/>
    <w:rsid w:val="006816E1"/>
    <w:rsid w:val="006A4CF3"/>
    <w:rsid w:val="0076403C"/>
    <w:rsid w:val="007F290B"/>
    <w:rsid w:val="00847566"/>
    <w:rsid w:val="00851097"/>
    <w:rsid w:val="00874FB5"/>
    <w:rsid w:val="0096206E"/>
    <w:rsid w:val="009F0708"/>
    <w:rsid w:val="00A36BEB"/>
    <w:rsid w:val="00A536CB"/>
    <w:rsid w:val="00A80C27"/>
    <w:rsid w:val="00AA0A86"/>
    <w:rsid w:val="00B10F3C"/>
    <w:rsid w:val="00B91DE9"/>
    <w:rsid w:val="00BE0820"/>
    <w:rsid w:val="00C0674C"/>
    <w:rsid w:val="00C071AC"/>
    <w:rsid w:val="00CA679F"/>
    <w:rsid w:val="00CB651C"/>
    <w:rsid w:val="00D51AD0"/>
    <w:rsid w:val="00D60C28"/>
    <w:rsid w:val="00DC62DF"/>
    <w:rsid w:val="00DC6929"/>
    <w:rsid w:val="00DD3792"/>
    <w:rsid w:val="00DE0B3E"/>
    <w:rsid w:val="00EA2675"/>
    <w:rsid w:val="00EB2B50"/>
    <w:rsid w:val="00F157A3"/>
    <w:rsid w:val="00F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DDF3"/>
  <w15:docId w15:val="{61D32DBD-1135-4686-A1DE-C0C4F2CF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41C6-BF54-463C-8191-855B4E40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NTOUMSV</dc:creator>
  <cp:keywords/>
  <dc:description/>
  <cp:lastModifiedBy>乙玲 黃</cp:lastModifiedBy>
  <cp:revision>5</cp:revision>
  <cp:lastPrinted>2020-03-03T15:19:00Z</cp:lastPrinted>
  <dcterms:created xsi:type="dcterms:W3CDTF">2020-03-03T08:37:00Z</dcterms:created>
  <dcterms:modified xsi:type="dcterms:W3CDTF">2020-03-04T07:00:00Z</dcterms:modified>
</cp:coreProperties>
</file>